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4C" w:rsidRPr="005F754C" w:rsidRDefault="005F754C" w:rsidP="005F754C">
      <w:pPr>
        <w:rPr>
          <w:rFonts w:ascii="Times New Roman" w:eastAsia="Calibri" w:hAnsi="Times New Roman" w:cs="Times New Roman"/>
          <w:b/>
          <w:sz w:val="24"/>
          <w:szCs w:val="24"/>
          <w:u w:val="single"/>
        </w:rPr>
      </w:pPr>
      <w:r w:rsidRPr="005F754C">
        <w:rPr>
          <w:rFonts w:ascii="Times New Roman" w:eastAsia="Calibri" w:hAnsi="Times New Roman" w:cs="Times New Roman"/>
          <w:b/>
          <w:sz w:val="24"/>
          <w:szCs w:val="24"/>
          <w:u w:val="single"/>
        </w:rPr>
        <w:t>VILNIAUS UŽUPIO GIMNAZIJOS MOKINIŲ NEMOKAMO MAITINIMO</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b/>
          <w:sz w:val="24"/>
          <w:szCs w:val="24"/>
          <w:u w:val="single"/>
        </w:rPr>
        <w:t>TVARKOS APRAŠAS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I. BENDROSIOS  NUOSTATOS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 Mokinių nemokamo maitinimo Vilniaus Užupio gimnazijos (toliau – gimnazija) tvarkos aprašas reglamentuoja nemokamo maitinimo mokiniams rūšis, – nemokamo  maitinimo mokiniams organizavimą Savivaldybės ir nevalstybinėse mokyklose, teisę į paramą, jo skyrimo sąlygas ir administravimą.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 Šis tvarkos aprašas parengtas vadovaujantis Lietuvos Respublikos socialinės paramos mokiniams įstatymu (</w:t>
      </w:r>
      <w:proofErr w:type="spellStart"/>
      <w:r w:rsidRPr="005F754C">
        <w:rPr>
          <w:rFonts w:ascii="Times New Roman" w:eastAsia="Calibri" w:hAnsi="Times New Roman" w:cs="Times New Roman"/>
          <w:sz w:val="24"/>
          <w:szCs w:val="24"/>
        </w:rPr>
        <w:t>Žin</w:t>
      </w:r>
      <w:proofErr w:type="spellEnd"/>
      <w:r w:rsidRPr="005F754C">
        <w:rPr>
          <w:rFonts w:ascii="Times New Roman" w:eastAsia="Calibri" w:hAnsi="Times New Roman" w:cs="Times New Roman"/>
          <w:sz w:val="24"/>
          <w:szCs w:val="24"/>
        </w:rPr>
        <w:t>., 2008, Nr. 63-2382; Nr. 149-6027; 2009, Nr. 153-6886), Lietuvos Respublikos piniginės socialinės paramos nepasiturinčioms šeimoms ir vieniems gyvenantiems asmenims įstatymu (</w:t>
      </w:r>
      <w:proofErr w:type="spellStart"/>
      <w:r w:rsidRPr="005F754C">
        <w:rPr>
          <w:rFonts w:ascii="Times New Roman" w:eastAsia="Calibri" w:hAnsi="Times New Roman" w:cs="Times New Roman"/>
          <w:sz w:val="24"/>
          <w:szCs w:val="24"/>
        </w:rPr>
        <w:t>Žin</w:t>
      </w:r>
      <w:proofErr w:type="spellEnd"/>
      <w:r w:rsidRPr="005F754C">
        <w:rPr>
          <w:rFonts w:ascii="Times New Roman" w:eastAsia="Calibri" w:hAnsi="Times New Roman" w:cs="Times New Roman"/>
          <w:sz w:val="24"/>
          <w:szCs w:val="24"/>
        </w:rPr>
        <w:t>., 2006, Nr. 130-4889; 2008, Nr. 71-2701; Nr. 74-2861; 2009, Nr. 93-3963), Lietuvos Respublikos Vyriausybės 2009 m. gruodžio 23 d. nutarimu Nr. 1770 (LR vyriausybės 2014m. vasario 19 d. nutarimo Nr. 171 redakcija) „Mokinių nemokamo maitinimo mokyklose tvarkos aprašas“, Vilniaus m. savivaldybės administracijos direktoriaus 2014 m. spalio 2 d. įsakymu Nr. 30-2877 „Dėl mokinių nemokamam maitinimui skirtiems produktams įsigyti skiriamų lėšų dydžių nustatymo“, Vilniaus m. savivaldybės tarybos 2011 m. birželio 28 d. sprendimu Nr. 1-114 (Vilniaus miesto savivaldybės tarybos 2014 m. gegužės 14 d. sprendimu Nr. 1-1816 redakcija) „Kreipimosi dėl socialinės paramos mokiniams tvarkos aprašas“.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3. Tvarkos aprašas yra taikomas vaikams, kurie gyvenamąją vietą yra deklaravę gimnazijos aptarnaujančioje teritorijoje arba kurie gyvena Vilniaus miesto savivaldybės teritorijoje ir kurie mokosi pagal bendrojo lavinimo (pagrindinio ir vidurinio ) ugdymo programas.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4. Nustatomos šios nemokamo maitinimo rūšys: pusryčiai (kreipimosi dėl socialinės paramos mokiniams tvarkos apraše nustatytais atvejais), pietūs, maitinimas gimnazijoje organizuojamoje dieninėje vasaros poilsio stovykloje.</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5. Nemokamas maitinimas finansuojamas iš valstybės biudžeto specialiosios tikslinės dotacijos savivaldybių biudžetams, Savivaldybės biudžeto lėšų, nevalstybinių mokyklų steigėjų skirtų lėšų ir įstatymų nustatyta tvarka gautų kitų lėšų.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6. Už nemokamo maitinimo organizavimą  ugdymo įstaigoje atsakingas  įstaigos vadovas, kuris paskiria atsakingą asmenį, nustato maitinimo  tvarką ir prižiūri, kad jos būtų laikomasi.</w:t>
      </w:r>
    </w:p>
    <w:p w:rsidR="005F754C" w:rsidRPr="005F754C" w:rsidRDefault="005F754C" w:rsidP="005F754C">
      <w:pPr>
        <w:rPr>
          <w:rFonts w:ascii="Times New Roman" w:eastAsia="Calibri" w:hAnsi="Times New Roman" w:cs="Times New Roman"/>
          <w:sz w:val="24"/>
          <w:szCs w:val="24"/>
        </w:rPr>
      </w:pP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II. TIKSLAS IR PRINCIPAI</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7. Mokinių nemokamo maitinimo organizavimo tikslas – užtikrinti, kad mažas pajamas turinčių šeimų mokiniai gimnazijoje gautų nemokamus pietus, o ypač sunkiai besiverčiančių šeimų mokiniai gautų nemokamus pusryčius ir pietus.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8. Pagalbos teikimo principai: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lastRenderedPageBreak/>
        <w:t>8.1.mokiniai turi teisę į pietus ir maitinimą gimnazijoje organizuojamoje vasaros poilsio stovykloje, jeigu vidutinės pajamos vienam šeimos nariui per mėnesį yra mažesnės kaip 2VRP dydžiai, šiais atvejais: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8.1.1.mokinys auga su vienu iš tėvų;</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8.1.2. šeimoje auga 3 ir daugiau vaikų;</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8.1.3. tėvai (vienas iš tėvų) ar mokinys, dėl kurio kreipiamasi, turi negalią;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8.1.4. įvykus gaisrui, padariusiam žalą bendrai gyvenančių asmenų ar vieno gyvenančio asmens turtui, sveikatai;</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8.1.5. mokinys yra patyręs socialinę riziką.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8.2. Mokiniai turi teisę į pusryčius, jeigu vidutinės pajamos vienam šeimos nariui per mėnesį yra mažesnės kaip 1VRP dydžio ir esant socialinio darbuotojo rekomendacijai, šiais atvejais: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8.2.1. mokinys yra patyręs socialinę riziką;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8.2.2. įvykus gaisrui, padariusiam žalą bendrai gyvenančių asmenų ar vieno gyvenančio asmens turtui, sveikatai;</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8.2.3. tėvai (vienas iš tėvų) ar mokinys, dėl kurio kreipiamasi, turi negalią.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9. Visais atvejais, išvardytais Tvarkos aprašo 8 punkte, yra tikrinamos šeimos bendrai gyvenančių asmenų ar vieno gyvenančio asmens gyvenimo sąlygos ir surašomas buities tyrimo aktas.</w:t>
      </w:r>
    </w:p>
    <w:p w:rsidR="005F754C" w:rsidRPr="005F754C" w:rsidRDefault="005F754C" w:rsidP="005F754C">
      <w:pPr>
        <w:rPr>
          <w:rFonts w:ascii="Times New Roman" w:eastAsia="Calibri" w:hAnsi="Times New Roman" w:cs="Times New Roman"/>
          <w:sz w:val="24"/>
          <w:szCs w:val="24"/>
        </w:rPr>
      </w:pP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III. KREIPIMASIS DĖL SOCIALINĖS PARAMOS MOKINIAMS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                     10. Dėl socialinės paramos mokiniams bendrai gyvenantys asmenys ar vienas gyvenantis asmuo gali kreiptis į Vilniaus miesto socialinės paramos centro Socialinio darbo skyrių. Dėl nemokamo maitinimo galima kreiptis nuo liepos 1 d. per visus mokslo metus, dėl paramos mokinio reikmenims – iki spalio 5 d.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11. Kreiptis dėl paramos turi teisę:</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11.1. vienas iš mokinio tėvų ar kitų bendrai gyvenančių pilnamečių asmenų, globėjų (rūpintojų), pilnametis mokinys ar nepilnametis mokinys, kuris yra susituokęs arba emancipuotas (toliau – pareiškėjas);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11.2. gimnazija, jeigu parama mokiniui yra būtina, bet mokinio tėvai, globėjai (rūpintojai) nesikreipia dėl paramos. Gimnazija apie tai raštu informuoja socialinės paramos centrą ir pateikia turimą informaciją, reikalingą paramai skirti. Tokiu atveju socialinės paramos centro darbuotojai tikrina bendrai gyvenančių asmenų ar vieno gyvenančio asmens gyvenimo sąlygas ir surašo buities ir gyvenimo sąlygų patikrinimo aktą.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                    12. Bendrai gyvenantys asmenys ar vienas gyvenantis asmuo turi pateikti prašymą-paraišką socialinei paramai mokiniams gauti (pildoma vietoje) arba elektroniniu būdu kartu pateikti šiuos dokumentus: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lastRenderedPageBreak/>
        <w:t>•</w:t>
      </w:r>
      <w:r w:rsidRPr="005F754C">
        <w:rPr>
          <w:rFonts w:ascii="Times New Roman" w:eastAsia="Calibri" w:hAnsi="Times New Roman" w:cs="Times New Roman"/>
          <w:sz w:val="24"/>
          <w:szCs w:val="24"/>
        </w:rPr>
        <w:tab/>
        <w:t xml:space="preserve">asmens tapatybę patvirtinantį dokumentą;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vaiko gimimo liudijimą;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pažymas apie pajamas (visų pajamas gaunančių bendrai gyvenančių asmenų ar vieno gyvenančio asmens už 3 paskutinius mėnesius iki kreipimosi mėnesio arba kreipimosi mėnesio);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pagal aplinkybes – kitus reikiamus dokumentus.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Šiuos dokumentus reikia pateikti, jeigu nėra duomenų bazėse:</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pažymą iš ugdymo įstaigos, jeigu mokiniui yra sukakę 16 metų ir daugiau;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santuokos liudijimą;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sutuoktinio mirties liudijimą, jei pareiškėjas yra našlys;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w:t>
      </w:r>
      <w:r w:rsidRPr="005F754C">
        <w:rPr>
          <w:rFonts w:ascii="Times New Roman" w:eastAsia="Calibri" w:hAnsi="Times New Roman" w:cs="Times New Roman"/>
          <w:sz w:val="24"/>
          <w:szCs w:val="24"/>
        </w:rPr>
        <w:tab/>
        <w:t xml:space="preserve">ištuokos liudijimą, jei pareiškėjas yra išsituokęs. </w:t>
      </w:r>
      <w:bookmarkStart w:id="0" w:name="_GoBack"/>
      <w:bookmarkEnd w:id="0"/>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V. NEMOKAMO MAITINIMO MOKINIAMS ORGANIZAVIMAS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GIMNAZIJOJE</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13. Ugdymo įstaigos vadovas paskiria atsakingą asmenį – mokyklos socialinį pedagogą, tvarkyti nemokamo maitinimo duomenis SPIS (Socialinės Paramos Informacinėje Sistemoje).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14. Pagal iš Socialinės paramos centro gautą pranešimą apie tai, kuriems mokiniams administracijos direktoriaus įsakymu skirtas nemokamas maitinimas, bei įtraukiant mokinį į SPIS sistemą, vadovaujantis gimnazijos direktoriaus įsakymu, skiriami nemokami pietūs arba/ir pusryčiai.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15. Gimnazijos socialinė pedagogė informuoja klasių vadovus, kuriems mokiniams yra skirtas nemokamas maitinimas, valgyklos darbuotojams teikia sąrašą mokinių, kuriems yra paskirtas nemokamas maitinimas, nuolat jį atnaujina.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16. Klasių vadovai informuoja mokinius apie skiriamą nemokamą maitinimą.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17. Tėvai informuoja klasės vadovą, kad mokinys nebus mokykloje dėl pateisinamų priežasčių. Klasės vadovas informuoja valgyklos vedėją, kad už neatvykimo laikotarpį mokinys norės gauti sausą davinį.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18. Valgyklos darbuotojai:</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18.1. teikia nemokamą maitinimą vadovaujantis Lietuvos Respublikos sveikatos apsaugos ministro 2011 m. lapkričio 11 d. įsakymu Nr. V-964 (Lietuvos Respublikos sveikatos apsaugos ministro 2015m. 27 d. įsakymu Nr. V-998) „Dėl maitinimo organizavimo ikimokyklinio ugdymo, bendrojo ugdymo mokyklose ir vaikų socialinės globos įstaigose tvarkos aprašas“, Lietuvos Respublikos Sveikatos apsaugos ministro 2011 m. rugpjūčio 10 d. įsakymu Nr. V-773 „Dėl Lietuvos higienos normos 21:2011 „Mokykla, vykdanti bendrojo ugdymo programas. Bendrieji sveikatos saugos reikalavimai“ patvirtinimo“;</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lastRenderedPageBreak/>
        <w:t xml:space="preserve">18.2. trijų savaičių valgiaraštį  suderina  su  Vilniaus maisto ir veterinarijos tarnyba (VMVT)  ir  paskelbia  valgiaraštį valgyklos skelbimo lentoje, gimnazijos elektroniniame dienyne ir mokyklos elektroninėje svetainėje;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19 Nemokamo maitinimo žiniaraščiai už praėjusį mėnesį (pasirašyti gimnazijos socialinės pedagogės ) kiekvieno mėnesio iki 5 dienos,  pateikiami biudžetinei įstaigai „Biudžetinių įstaigų buhalterinė apskaita”.</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20. Mokiniai:</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20.1. 1-2 </w:t>
      </w:r>
      <w:proofErr w:type="spellStart"/>
      <w:r w:rsidRPr="005F754C">
        <w:rPr>
          <w:rFonts w:ascii="Times New Roman" w:eastAsia="Calibri" w:hAnsi="Times New Roman" w:cs="Times New Roman"/>
          <w:sz w:val="24"/>
          <w:szCs w:val="24"/>
        </w:rPr>
        <w:t>kl</w:t>
      </w:r>
      <w:proofErr w:type="spellEnd"/>
      <w:r w:rsidRPr="005F754C">
        <w:rPr>
          <w:rFonts w:ascii="Times New Roman" w:eastAsia="Calibri" w:hAnsi="Times New Roman" w:cs="Times New Roman"/>
          <w:sz w:val="24"/>
          <w:szCs w:val="24"/>
        </w:rPr>
        <w:t xml:space="preserve">. nemokamą maitinimą gaunantiems mokiniams rekomenduojama valgyti per pirmąją ilgąją pertrauką, o 3-4 </w:t>
      </w:r>
      <w:proofErr w:type="spellStart"/>
      <w:r w:rsidRPr="005F754C">
        <w:rPr>
          <w:rFonts w:ascii="Times New Roman" w:eastAsia="Calibri" w:hAnsi="Times New Roman" w:cs="Times New Roman"/>
          <w:sz w:val="24"/>
          <w:szCs w:val="24"/>
        </w:rPr>
        <w:t>kl.per</w:t>
      </w:r>
      <w:proofErr w:type="spellEnd"/>
      <w:r w:rsidRPr="005F754C">
        <w:rPr>
          <w:rFonts w:ascii="Times New Roman" w:eastAsia="Calibri" w:hAnsi="Times New Roman" w:cs="Times New Roman"/>
          <w:sz w:val="24"/>
          <w:szCs w:val="24"/>
        </w:rPr>
        <w:t xml:space="preserve"> antrąją ilgąją pertrauką , bet gali valgyti pasirinktu laiku;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 xml:space="preserve">20.2. pavalgę mokiniai nuo stalų nuneša indus į valgykloje tam skirtą vietą. </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21. Mokiniui pakeitus mokyklą, nemokamas maitinimas naujoje mokykloje pradedamas teikti nuo pirmosios mokymosi joje dienos.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22. Nemokami pusryčiai ir pietūs teikiami gimnazijoje mokslo metų darbo dienomis. Poilsio, švenčių, atostogų dienomis per mokslo metus nemokami pusryčiai ir pietūs neteikiami.</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23. Mokiniams, kuriems skirtas mokymas namuose ar neatvykusiems į gimnaziją dėl ligos, jei apie tai yra informuojama iš anksto, atvykus į mokyklą  pateikiama pažymos kopija. Atsižvelgiant į tėvų bei mokinių prašymus, už šį laikotarpį atiduodamas sausas maisto davinys, kurio kaina atitinka nemokamam maitinimui skirtą pinigų sumą.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24. Mokiniams, neatvykusiems į ugdymo įstaigą be pateisinamos priežasties, nemokamas maitinimas neorganizuojamas.</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25. Visuomenės sveikatos priežiūros specialistė:</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25.1. prižiūri mokinių maitinimo organizavimo tvarką;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25.2. kas dvi savaites pildo valgiaraščio ir mokinių maitinimo atitikties žurnalą;</w:t>
      </w:r>
    </w:p>
    <w:p w:rsidR="005F754C" w:rsidRPr="005F754C" w:rsidRDefault="005F754C" w:rsidP="005F754C">
      <w:pPr>
        <w:rPr>
          <w:rFonts w:ascii="Times New Roman" w:eastAsia="Calibri" w:hAnsi="Times New Roman" w:cs="Times New Roman"/>
          <w:sz w:val="24"/>
          <w:szCs w:val="24"/>
        </w:rPr>
      </w:pPr>
      <w:r w:rsidRPr="005F754C">
        <w:rPr>
          <w:rFonts w:ascii="Times New Roman" w:eastAsia="Calibri" w:hAnsi="Times New Roman" w:cs="Times New Roman"/>
          <w:sz w:val="24"/>
          <w:szCs w:val="24"/>
        </w:rPr>
        <w:t>25.3. sudaro mokinių tausojančio maitinimo sąrašą, kuris pateikiamas valgyklos direktorei.</w:t>
      </w:r>
    </w:p>
    <w:p w:rsidR="00736090" w:rsidRDefault="00736090"/>
    <w:sectPr w:rsidR="00736090" w:rsidSect="007D6211">
      <w:footerReference w:type="even" r:id="rId5"/>
      <w:footerReference w:type="default" r:id="rId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DF" w:rsidRDefault="005F754C" w:rsidP="00A2797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F5DDF" w:rsidRDefault="005F754C" w:rsidP="009E449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DF" w:rsidRDefault="005F754C" w:rsidP="00A2797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5DDF" w:rsidRPr="005E289E" w:rsidRDefault="005F754C" w:rsidP="009E4493">
    <w:pPr>
      <w:pStyle w:val="Porat"/>
      <w:ind w:right="360"/>
      <w:rPr>
        <w:u w:val="singl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4C"/>
    <w:rsid w:val="005F754C"/>
    <w:rsid w:val="007360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5F75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F754C"/>
  </w:style>
  <w:style w:type="character" w:styleId="Puslapionumeris">
    <w:name w:val="page number"/>
    <w:basedOn w:val="Numatytasispastraiposriftas"/>
    <w:rsid w:val="005F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5F75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F754C"/>
  </w:style>
  <w:style w:type="character" w:styleId="Puslapionumeris">
    <w:name w:val="page number"/>
    <w:basedOn w:val="Numatytasispastraiposriftas"/>
    <w:rsid w:val="005F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5642</Words>
  <Characters>3217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Virginija</cp:lastModifiedBy>
  <cp:revision>1</cp:revision>
  <dcterms:created xsi:type="dcterms:W3CDTF">2018-05-30T11:23:00Z</dcterms:created>
  <dcterms:modified xsi:type="dcterms:W3CDTF">2018-05-30T11:24:00Z</dcterms:modified>
</cp:coreProperties>
</file>